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F640C" w14:textId="3D988EBD" w:rsidR="00145A03" w:rsidRPr="00143EEA" w:rsidRDefault="00145A03" w:rsidP="00145A03">
      <w:pPr>
        <w:pStyle w:val="CRCoverPage"/>
        <w:tabs>
          <w:tab w:val="right" w:pos="9639"/>
        </w:tabs>
        <w:spacing w:after="0"/>
        <w:rPr>
          <w:b/>
          <w:i/>
          <w:sz w:val="28"/>
        </w:rPr>
      </w:pPr>
      <w:r w:rsidRPr="00143EEA">
        <w:rPr>
          <w:b/>
          <w:sz w:val="24"/>
        </w:rPr>
        <w:t>3GPP TSG-RAN WG3 #1</w:t>
      </w:r>
      <w:r>
        <w:rPr>
          <w:b/>
          <w:sz w:val="24"/>
        </w:rPr>
        <w:t>17bis-e</w:t>
      </w:r>
      <w:r w:rsidRPr="00143EEA">
        <w:rPr>
          <w:b/>
          <w:i/>
          <w:sz w:val="28"/>
        </w:rPr>
        <w:tab/>
      </w:r>
      <w:r w:rsidR="00860380" w:rsidRPr="00860380">
        <w:rPr>
          <w:rFonts w:cs="Arial"/>
          <w:b/>
          <w:bCs/>
          <w:color w:val="000000"/>
          <w:sz w:val="28"/>
          <w:szCs w:val="28"/>
        </w:rPr>
        <w:t>R3-225485</w:t>
      </w:r>
    </w:p>
    <w:p w14:paraId="32CDE362" w14:textId="77777777" w:rsidR="00145A03" w:rsidRPr="00143EEA" w:rsidRDefault="00145A03" w:rsidP="00145A03">
      <w:pPr>
        <w:pStyle w:val="CRCoverPage"/>
        <w:outlineLvl w:val="0"/>
        <w:rPr>
          <w:b/>
          <w:sz w:val="24"/>
        </w:rPr>
      </w:pPr>
      <w:r w:rsidRPr="00143EEA">
        <w:rPr>
          <w:b/>
          <w:bCs/>
          <w:sz w:val="24"/>
        </w:rPr>
        <w:t xml:space="preserve">Online, </w:t>
      </w:r>
      <w:r>
        <w:rPr>
          <w:b/>
          <w:bCs/>
          <w:sz w:val="24"/>
        </w:rPr>
        <w:t>10</w:t>
      </w:r>
      <w:r w:rsidRPr="00DF5C03">
        <w:rPr>
          <w:b/>
          <w:bCs/>
          <w:sz w:val="24"/>
          <w:vertAlign w:val="superscript"/>
        </w:rPr>
        <w:t>th</w:t>
      </w:r>
      <w:r>
        <w:rPr>
          <w:b/>
          <w:bCs/>
          <w:sz w:val="24"/>
        </w:rPr>
        <w:t xml:space="preserve"> </w:t>
      </w:r>
      <w:r w:rsidRPr="00143EEA">
        <w:rPr>
          <w:b/>
          <w:bCs/>
          <w:sz w:val="24"/>
        </w:rPr>
        <w:t xml:space="preserve">– </w:t>
      </w:r>
      <w:r>
        <w:rPr>
          <w:b/>
          <w:bCs/>
          <w:sz w:val="24"/>
        </w:rPr>
        <w:t>18</w:t>
      </w:r>
      <w:r>
        <w:rPr>
          <w:b/>
          <w:bCs/>
          <w:sz w:val="24"/>
          <w:vertAlign w:val="superscript"/>
        </w:rPr>
        <w:t>th</w:t>
      </w:r>
      <w:r>
        <w:rPr>
          <w:b/>
          <w:bCs/>
          <w:sz w:val="24"/>
        </w:rPr>
        <w:t xml:space="preserve"> October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4137E65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233AE073"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496FF9" w:rsidRPr="00496FF9">
        <w:rPr>
          <w:rFonts w:cs="Arial"/>
          <w:b/>
          <w:bCs/>
          <w:color w:val="000000"/>
          <w:sz w:val="24"/>
          <w:szCs w:val="24"/>
          <w:lang w:val="en-US"/>
        </w:rPr>
        <w:t>Discussion on prediction and feedback transfer during handover</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2CA8282" w14:textId="32FA5129" w:rsidR="00756C52" w:rsidRDefault="00827C28" w:rsidP="00D14C4D">
      <w:pPr>
        <w:spacing w:after="0" w:line="240" w:lineRule="exact"/>
        <w:rPr>
          <w:rFonts w:cs="Arial"/>
          <w:lang w:eastAsia="zh-CN"/>
        </w:rPr>
      </w:pPr>
      <w:r>
        <w:rPr>
          <w:rFonts w:cs="Arial"/>
          <w:lang w:eastAsia="zh-CN"/>
        </w:rPr>
        <w:t>In this paper, we further discuss the issues related to exchanging UE related prediction</w:t>
      </w:r>
      <w:r w:rsidR="00E42102">
        <w:rPr>
          <w:rFonts w:cs="Arial"/>
          <w:lang w:eastAsia="zh-CN"/>
        </w:rPr>
        <w:t xml:space="preserve"> and feedback during handover</w:t>
      </w:r>
      <w:r>
        <w:rPr>
          <w:rFonts w:cs="Arial"/>
          <w:lang w:eastAsia="zh-CN"/>
        </w:rPr>
        <w:t>.</w:t>
      </w: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177DF8B0" w14:textId="49B0A709" w:rsidR="008E678A" w:rsidRDefault="0047354F" w:rsidP="00F475BB">
      <w:pPr>
        <w:pStyle w:val="Heading2"/>
      </w:pPr>
      <w:bookmarkStart w:id="0" w:name="_Hlk114733628"/>
      <w:r>
        <w:t>2.</w:t>
      </w:r>
      <w:r w:rsidR="00D56C64">
        <w:t>1</w:t>
      </w:r>
      <w:r>
        <w:tab/>
      </w:r>
      <w:r w:rsidR="00F475BB">
        <w:t xml:space="preserve">Procedure used to transfer the predicted UE </w:t>
      </w:r>
      <w:r w:rsidR="0008130F">
        <w:t>trajectory</w:t>
      </w:r>
      <w:bookmarkEnd w:id="0"/>
    </w:p>
    <w:p w14:paraId="009942C7" w14:textId="2362F8F9" w:rsidR="00827C28" w:rsidRPr="0013772D" w:rsidRDefault="00827C28" w:rsidP="00827C28">
      <w:r>
        <w:t xml:space="preserve">In the last RAN3 meeting, it was agreed that at least predicted cell granularity UE trajectory can be exchanged over </w:t>
      </w:r>
      <w:proofErr w:type="spellStart"/>
      <w:r>
        <w:t>Xn</w:t>
      </w:r>
      <w:proofErr w:type="spellEnd"/>
      <w:r>
        <w:t xml:space="preserve"> interface</w:t>
      </w:r>
      <w:r>
        <w:rPr>
          <w:rFonts w:cs="Arial"/>
          <w:lang w:eastAsia="zh-CN"/>
        </w:rPr>
        <w:t xml:space="preserve">. </w:t>
      </w:r>
    </w:p>
    <w:tbl>
      <w:tblPr>
        <w:tblStyle w:val="TableGrid"/>
        <w:tblW w:w="0" w:type="auto"/>
        <w:tblLook w:val="04A0" w:firstRow="1" w:lastRow="0" w:firstColumn="1" w:lastColumn="0" w:noHBand="0" w:noVBand="1"/>
      </w:tblPr>
      <w:tblGrid>
        <w:gridCol w:w="9855"/>
      </w:tblGrid>
      <w:tr w:rsidR="00827C28" w14:paraId="5DBF8D61" w14:textId="77777777" w:rsidTr="00B6297B">
        <w:tc>
          <w:tcPr>
            <w:tcW w:w="9855" w:type="dxa"/>
          </w:tcPr>
          <w:p w14:paraId="12A37C53" w14:textId="77777777" w:rsidR="00827C28" w:rsidRPr="00D35757" w:rsidRDefault="00827C28" w:rsidP="00B6297B">
            <w:pPr>
              <w:rPr>
                <w:rFonts w:cs="Arial"/>
                <w:lang w:eastAsia="zh-CN"/>
              </w:rPr>
            </w:pPr>
            <w:r w:rsidRPr="004C38EC">
              <w:rPr>
                <w:rFonts w:cs="Arial"/>
                <w:highlight w:val="green"/>
                <w:lang w:eastAsia="zh-CN"/>
              </w:rPr>
              <w:t>RAN3 #117e Agreements</w:t>
            </w:r>
          </w:p>
          <w:p w14:paraId="24E54031" w14:textId="77777777" w:rsidR="00827C28" w:rsidRDefault="00827C28" w:rsidP="00B6297B">
            <w:pPr>
              <w:rPr>
                <w:rFonts w:ascii="Calibri" w:hAnsi="Calibri" w:cs="Calibri"/>
                <w:i/>
                <w:iCs/>
                <w:color w:val="00B050"/>
                <w:kern w:val="2"/>
                <w:sz w:val="16"/>
                <w:szCs w:val="16"/>
                <w:u w:val="single"/>
              </w:rPr>
            </w:pPr>
            <w:r w:rsidRPr="000013BA">
              <w:rPr>
                <w:rFonts w:ascii="Calibri" w:hAnsi="Calibri" w:cs="Calibri"/>
                <w:i/>
                <w:iCs/>
                <w:color w:val="00B050"/>
                <w:kern w:val="2"/>
                <w:sz w:val="16"/>
                <w:szCs w:val="16"/>
                <w:u w:val="single"/>
              </w:rPr>
              <w:t>AI/ML based mobility optimization</w:t>
            </w:r>
            <w:r>
              <w:rPr>
                <w:rFonts w:ascii="Calibri" w:hAnsi="Calibri" w:cs="Calibri"/>
                <w:i/>
                <w:iCs/>
                <w:color w:val="00B050"/>
                <w:kern w:val="2"/>
                <w:sz w:val="16"/>
                <w:szCs w:val="16"/>
                <w:u w:val="single"/>
              </w:rPr>
              <w:t>:</w:t>
            </w:r>
          </w:p>
          <w:p w14:paraId="09DC5416" w14:textId="77777777" w:rsidR="00827C28" w:rsidRPr="000013BA" w:rsidRDefault="00827C28" w:rsidP="00B6297B">
            <w:pPr>
              <w:rPr>
                <w:rFonts w:ascii="Calibri" w:hAnsi="Calibri" w:cs="Calibri"/>
                <w:i/>
                <w:iCs/>
                <w:color w:val="00B050"/>
                <w:kern w:val="2"/>
                <w:sz w:val="16"/>
                <w:szCs w:val="16"/>
              </w:rPr>
            </w:pPr>
            <w:r>
              <w:rPr>
                <w:rFonts w:ascii="Calibri" w:hAnsi="Calibri" w:cs="Calibri"/>
                <w:i/>
                <w:iCs/>
                <w:color w:val="00B050"/>
                <w:kern w:val="2"/>
                <w:sz w:val="16"/>
                <w:szCs w:val="16"/>
              </w:rPr>
              <w:t>T</w:t>
            </w:r>
            <w:r w:rsidRPr="000013BA">
              <w:rPr>
                <w:rFonts w:ascii="Calibri" w:hAnsi="Calibri" w:cs="Calibri"/>
                <w:i/>
                <w:iCs/>
                <w:color w:val="00B050"/>
                <w:kern w:val="2"/>
                <w:sz w:val="16"/>
                <w:szCs w:val="16"/>
              </w:rPr>
              <w:t xml:space="preserve">he following information should be specified as a start point </w:t>
            </w:r>
            <w:proofErr w:type="gramStart"/>
            <w:r w:rsidRPr="000013BA">
              <w:rPr>
                <w:rFonts w:ascii="Calibri" w:hAnsi="Calibri" w:cs="Calibri"/>
                <w:i/>
                <w:iCs/>
                <w:color w:val="00B050"/>
                <w:kern w:val="2"/>
                <w:sz w:val="16"/>
                <w:szCs w:val="16"/>
              </w:rPr>
              <w:t>on the basis of</w:t>
            </w:r>
            <w:proofErr w:type="gramEnd"/>
            <w:r w:rsidRPr="000013BA">
              <w:rPr>
                <w:rFonts w:ascii="Calibri" w:hAnsi="Calibri" w:cs="Calibri"/>
                <w:i/>
                <w:iCs/>
                <w:color w:val="00B050"/>
                <w:kern w:val="2"/>
                <w:sz w:val="16"/>
                <w:szCs w:val="16"/>
              </w:rPr>
              <w:t xml:space="preserve"> TR37.817:</w:t>
            </w:r>
          </w:p>
          <w:p w14:paraId="64927544" w14:textId="77777777" w:rsidR="00827C28" w:rsidRPr="000013BA" w:rsidRDefault="00827C28" w:rsidP="00827C28">
            <w:pPr>
              <w:pStyle w:val="ListParagraph3"/>
              <w:numPr>
                <w:ilvl w:val="0"/>
                <w:numId w:val="23"/>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(e.g., UL/DL throughput, packet delay, packet loss)</w:t>
            </w:r>
          </w:p>
          <w:p w14:paraId="61A9ACC5" w14:textId="77777777" w:rsidR="00827C28" w:rsidRDefault="00827C28" w:rsidP="00827C28">
            <w:pPr>
              <w:pStyle w:val="ListParagraph3"/>
              <w:numPr>
                <w:ilvl w:val="0"/>
                <w:numId w:val="23"/>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 xml:space="preserve">Predicted resource status information over </w:t>
            </w:r>
            <w:proofErr w:type="spellStart"/>
            <w:r w:rsidRPr="000013BA">
              <w:rPr>
                <w:rFonts w:ascii="Calibri" w:eastAsia="MS Mincho" w:hAnsi="Calibri" w:cs="Calibri"/>
                <w:i/>
                <w:iCs/>
                <w:color w:val="00B050"/>
                <w:kern w:val="2"/>
                <w:sz w:val="16"/>
                <w:szCs w:val="16"/>
              </w:rPr>
              <w:t>Xn</w:t>
            </w:r>
            <w:proofErr w:type="spellEnd"/>
          </w:p>
          <w:p w14:paraId="4555FBD9" w14:textId="77777777" w:rsidR="00827C28" w:rsidRDefault="00827C28" w:rsidP="00B6297B">
            <w:pPr>
              <w:rPr>
                <w:rFonts w:ascii="Calibri" w:eastAsia="等线" w:hAnsi="Calibri" w:cs="Calibri"/>
                <w:b/>
                <w:bCs/>
                <w:color w:val="008000"/>
                <w:sz w:val="18"/>
                <w:szCs w:val="18"/>
              </w:rPr>
            </w:pPr>
            <w:r w:rsidRPr="00F55DC7">
              <w:rPr>
                <w:rFonts w:ascii="Calibri" w:hAnsi="Calibri" w:cs="Calibri"/>
                <w:i/>
                <w:iCs/>
                <w:color w:val="00B050"/>
                <w:kern w:val="2"/>
                <w:sz w:val="16"/>
                <w:szCs w:val="16"/>
              </w:rPr>
              <w:t xml:space="preserve">Predicted cell-granularity UE trajectory can be exchanged over </w:t>
            </w:r>
            <w:proofErr w:type="spellStart"/>
            <w:r w:rsidRPr="00F55DC7">
              <w:rPr>
                <w:rFonts w:ascii="Calibri" w:hAnsi="Calibri" w:cs="Calibri"/>
                <w:i/>
                <w:iCs/>
                <w:color w:val="00B050"/>
                <w:kern w:val="2"/>
                <w:sz w:val="16"/>
                <w:szCs w:val="16"/>
              </w:rPr>
              <w:t>Xn</w:t>
            </w:r>
            <w:proofErr w:type="spellEnd"/>
            <w:r w:rsidRPr="00F55DC7">
              <w:rPr>
                <w:rFonts w:ascii="Calibri" w:hAnsi="Calibri" w:cs="Calibri"/>
                <w:i/>
                <w:iCs/>
                <w:color w:val="00B050"/>
                <w:kern w:val="2"/>
                <w:sz w:val="16"/>
                <w:szCs w:val="16"/>
              </w:rPr>
              <w:t xml:space="preserve"> for AI/ML based mobility optimization.</w:t>
            </w:r>
          </w:p>
          <w:p w14:paraId="0EAB9E75" w14:textId="77777777" w:rsidR="00827C28" w:rsidRPr="00F55DC7" w:rsidRDefault="00827C28" w:rsidP="00B6297B">
            <w:pPr>
              <w:rPr>
                <w:rFonts w:ascii="Calibri" w:eastAsia="等线" w:hAnsi="Calibri" w:cs="Calibri"/>
                <w:i/>
                <w:color w:val="FF0000"/>
                <w:kern w:val="2"/>
                <w:sz w:val="16"/>
                <w:szCs w:val="16"/>
                <w:lang w:eastAsia="en-US"/>
              </w:rPr>
            </w:pPr>
            <w:r w:rsidRPr="00F55DC7">
              <w:rPr>
                <w:rFonts w:ascii="Calibri" w:eastAsia="等线" w:hAnsi="Calibri" w:cs="Calibri"/>
                <w:i/>
                <w:color w:val="FF0000"/>
                <w:kern w:val="2"/>
                <w:sz w:val="16"/>
                <w:szCs w:val="16"/>
                <w:lang w:eastAsia="en-US"/>
              </w:rPr>
              <w:t xml:space="preserve">Other granularity of UE trajectory, and how UE trajectory computation and representation over </w:t>
            </w:r>
            <w:proofErr w:type="spellStart"/>
            <w:r w:rsidRPr="00F55DC7">
              <w:rPr>
                <w:rFonts w:ascii="Calibri" w:eastAsia="等线" w:hAnsi="Calibri" w:cs="Calibri"/>
                <w:i/>
                <w:color w:val="FF0000"/>
                <w:kern w:val="2"/>
                <w:sz w:val="16"/>
                <w:szCs w:val="16"/>
                <w:lang w:eastAsia="en-US"/>
              </w:rPr>
              <w:t>Xn</w:t>
            </w:r>
            <w:proofErr w:type="spellEnd"/>
            <w:r w:rsidRPr="00F55DC7">
              <w:rPr>
                <w:rFonts w:ascii="Calibri" w:eastAsia="等线" w:hAnsi="Calibri" w:cs="Calibri"/>
                <w:i/>
                <w:color w:val="FF0000"/>
                <w:kern w:val="2"/>
                <w:sz w:val="16"/>
                <w:szCs w:val="16"/>
                <w:lang w:eastAsia="en-US"/>
              </w:rPr>
              <w:t xml:space="preserve"> needs to be further discussed.</w:t>
            </w:r>
          </w:p>
          <w:p w14:paraId="68EAB42F" w14:textId="77777777" w:rsidR="00827C28" w:rsidRDefault="00827C28" w:rsidP="00B6297B">
            <w:pPr>
              <w:pStyle w:val="Normal4"/>
              <w:rPr>
                <w:rFonts w:eastAsia="等线"/>
                <w:i/>
                <w:color w:val="FF0000"/>
                <w:sz w:val="16"/>
                <w:szCs w:val="16"/>
                <w:lang w:eastAsia="en-US"/>
              </w:rPr>
            </w:pPr>
            <w:r w:rsidRPr="00F55DC7">
              <w:rPr>
                <w:rFonts w:eastAsia="等线"/>
                <w:i/>
                <w:color w:val="FF0000"/>
                <w:sz w:val="16"/>
                <w:szCs w:val="16"/>
                <w:lang w:eastAsia="en-US"/>
              </w:rPr>
              <w:t xml:space="preserve">Details of the solution how to transfer predicted UE trajectory over </w:t>
            </w:r>
            <w:proofErr w:type="spellStart"/>
            <w:r w:rsidRPr="00F55DC7">
              <w:rPr>
                <w:rFonts w:eastAsia="等线"/>
                <w:i/>
                <w:color w:val="FF0000"/>
                <w:sz w:val="16"/>
                <w:szCs w:val="16"/>
                <w:lang w:eastAsia="en-US"/>
              </w:rPr>
              <w:t>Xn</w:t>
            </w:r>
            <w:proofErr w:type="spellEnd"/>
            <w:r w:rsidRPr="00F55DC7">
              <w:rPr>
                <w:rFonts w:eastAsia="等线"/>
                <w:i/>
                <w:color w:val="FF0000"/>
                <w:sz w:val="16"/>
                <w:szCs w:val="16"/>
                <w:lang w:eastAsia="en-US"/>
              </w:rPr>
              <w:t xml:space="preserve"> interface can be discussed further, e.g., whether to reuse the existing message and whether to transfer in requested way or not.</w:t>
            </w:r>
          </w:p>
          <w:p w14:paraId="0F0F6C6F" w14:textId="77777777" w:rsidR="00827C28" w:rsidRDefault="00827C28" w:rsidP="00B6297B">
            <w:pPr>
              <w:spacing w:after="0" w:line="240" w:lineRule="exact"/>
              <w:rPr>
                <w:rFonts w:cs="Arial"/>
                <w:lang w:eastAsia="zh-CN"/>
              </w:rPr>
            </w:pPr>
          </w:p>
        </w:tc>
      </w:tr>
    </w:tbl>
    <w:p w14:paraId="7F2DE4C5" w14:textId="77777777" w:rsidR="00827C28" w:rsidRDefault="00827C28" w:rsidP="002F13AE"/>
    <w:p w14:paraId="01ACFB7A" w14:textId="63639A93" w:rsidR="00795852" w:rsidRDefault="002F13AE" w:rsidP="002F13AE">
      <w:r>
        <w:t>With respect to which signalling</w:t>
      </w:r>
      <w:r w:rsidR="00795852">
        <w:t>/procedure</w:t>
      </w:r>
      <w:r>
        <w:t xml:space="preserve"> can be used to convey the prediction result during handover, </w:t>
      </w:r>
      <w:r w:rsidR="0013772D">
        <w:t>we see two alternatives</w:t>
      </w:r>
      <w:r w:rsidR="00795852">
        <w:t xml:space="preserve">. </w:t>
      </w:r>
    </w:p>
    <w:p w14:paraId="715BC0BE" w14:textId="77777777" w:rsidR="00702B90" w:rsidRPr="00FC700C" w:rsidRDefault="001D4DF6" w:rsidP="002F13AE">
      <w:pPr>
        <w:rPr>
          <w:u w:val="single"/>
        </w:rPr>
      </w:pPr>
      <w:r w:rsidRPr="00FC700C">
        <w:rPr>
          <w:u w:val="single"/>
        </w:rPr>
        <w:t xml:space="preserve">Alternative#1: </w:t>
      </w:r>
      <w:r w:rsidR="00702B90" w:rsidRPr="00FC700C">
        <w:rPr>
          <w:u w:val="single"/>
        </w:rPr>
        <w:t>via HANDOVER REQUEST message</w:t>
      </w:r>
    </w:p>
    <w:p w14:paraId="6FF175FC" w14:textId="5D8DC9A6" w:rsidR="005E24A6" w:rsidRDefault="00795852" w:rsidP="00702B90">
      <w:pPr>
        <w:pStyle w:val="ListParagraph"/>
        <w:numPr>
          <w:ilvl w:val="0"/>
          <w:numId w:val="23"/>
        </w:numPr>
      </w:pPr>
      <w:r>
        <w:t>T</w:t>
      </w:r>
      <w:r w:rsidR="002F13AE">
        <w:t xml:space="preserve">he </w:t>
      </w:r>
      <w:r w:rsidR="005E24A6">
        <w:t>simplest</w:t>
      </w:r>
      <w:r w:rsidR="002F13AE">
        <w:t xml:space="preserve"> way would be </w:t>
      </w:r>
      <w:r w:rsidR="005E24A6">
        <w:t>carrying it in the HANDOVER REQUEST message.</w:t>
      </w:r>
      <w:r>
        <w:t xml:space="preserve"> In this case, </w:t>
      </w:r>
      <w:r w:rsidR="00FF791A">
        <w:t>the target NG-RAN node can also take the future UE trajectory into account when</w:t>
      </w:r>
      <w:r w:rsidR="00902FA0">
        <w:t xml:space="preserve"> deciding to acknowledge the handover request. </w:t>
      </w:r>
    </w:p>
    <w:p w14:paraId="237DDFD1" w14:textId="57979697" w:rsidR="00BC6C4F" w:rsidRDefault="0049084F" w:rsidP="0049084F">
      <w:pPr>
        <w:jc w:val="center"/>
      </w:pPr>
      <w:r>
        <w:rPr>
          <w:noProof/>
        </w:rPr>
        <w:drawing>
          <wp:inline distT="0" distB="0" distL="0" distR="0" wp14:anchorId="120760F3" wp14:editId="337D4BDA">
            <wp:extent cx="3271520" cy="1538759"/>
            <wp:effectExtent l="0" t="0" r="508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96249" cy="1550390"/>
                    </a:xfrm>
                    <a:prstGeom prst="rect">
                      <a:avLst/>
                    </a:prstGeom>
                  </pic:spPr>
                </pic:pic>
              </a:graphicData>
            </a:graphic>
          </wp:inline>
        </w:drawing>
      </w:r>
    </w:p>
    <w:p w14:paraId="6D78FD30" w14:textId="04639538" w:rsidR="00D0496F" w:rsidRPr="00D35757" w:rsidRDefault="00D0496F" w:rsidP="0049084F">
      <w:pPr>
        <w:jc w:val="center"/>
        <w:rPr>
          <w:b/>
          <w:bCs/>
        </w:rPr>
      </w:pPr>
      <w:r w:rsidRPr="00D35757">
        <w:rPr>
          <w:b/>
          <w:bCs/>
        </w:rPr>
        <w:t xml:space="preserve">Figure 1: Example of </w:t>
      </w:r>
      <w:r w:rsidR="00D35757" w:rsidRPr="00D35757">
        <w:rPr>
          <w:b/>
          <w:bCs/>
        </w:rPr>
        <w:t>sending predicted UE trajectory via HO request</w:t>
      </w:r>
    </w:p>
    <w:p w14:paraId="677588A7" w14:textId="77777777" w:rsidR="00BC6C4F" w:rsidRDefault="00BC6C4F" w:rsidP="00BC6C4F"/>
    <w:p w14:paraId="2E0DB2F1" w14:textId="4531CD2E" w:rsidR="001D4DF6" w:rsidRPr="00FC700C" w:rsidRDefault="001D4DF6" w:rsidP="002F13AE">
      <w:pPr>
        <w:rPr>
          <w:u w:val="single"/>
        </w:rPr>
      </w:pPr>
      <w:r w:rsidRPr="00FC700C">
        <w:rPr>
          <w:u w:val="single"/>
        </w:rPr>
        <w:t>Alternative#2:</w:t>
      </w:r>
      <w:r w:rsidR="00702B90" w:rsidRPr="00FC700C">
        <w:rPr>
          <w:u w:val="single"/>
        </w:rPr>
        <w:t xml:space="preserve"> via the new </w:t>
      </w:r>
      <w:proofErr w:type="spellStart"/>
      <w:r w:rsidR="007F1768" w:rsidRPr="00FC700C">
        <w:rPr>
          <w:u w:val="single"/>
        </w:rPr>
        <w:t>Xn</w:t>
      </w:r>
      <w:proofErr w:type="spellEnd"/>
      <w:r w:rsidR="007F1768" w:rsidRPr="00FC700C">
        <w:rPr>
          <w:u w:val="single"/>
        </w:rPr>
        <w:t xml:space="preserve"> </w:t>
      </w:r>
      <w:r w:rsidR="00702B90" w:rsidRPr="00FC700C">
        <w:rPr>
          <w:u w:val="single"/>
        </w:rPr>
        <w:t>procedure for prediction information</w:t>
      </w:r>
    </w:p>
    <w:p w14:paraId="6E1DA6D2" w14:textId="6DFE8094" w:rsidR="00D83884" w:rsidRDefault="00EA07C1" w:rsidP="007F1768">
      <w:pPr>
        <w:pStyle w:val="ListParagraph"/>
        <w:numPr>
          <w:ilvl w:val="0"/>
          <w:numId w:val="23"/>
        </w:numPr>
      </w:pPr>
      <w:r>
        <w:t xml:space="preserve">In the last meeting, RAN3 agreed to use a new </w:t>
      </w:r>
      <w:proofErr w:type="spellStart"/>
      <w:r>
        <w:t>Xn</w:t>
      </w:r>
      <w:proofErr w:type="spellEnd"/>
      <w:r>
        <w:t xml:space="preserve"> interface to transfer prediction information, which can also be </w:t>
      </w:r>
      <w:r w:rsidR="00415F70">
        <w:t>used by the target NG-RAN node to request the predicted UE trajectory from the source NG-RAN node</w:t>
      </w:r>
      <w:r w:rsidR="0070527B">
        <w:t>.</w:t>
      </w:r>
      <w:r w:rsidR="00613403">
        <w:t xml:space="preserve"> For example, after the target NG-RAN node acknowledges the handover request </w:t>
      </w:r>
      <w:r w:rsidR="00C3600B">
        <w:t>from the source NG-RAN node, the target NG-RAN node can send a message requesting predicted UE trajectory from the source NG-RAN node.</w:t>
      </w:r>
      <w:r w:rsidR="00D0496F">
        <w:t xml:space="preserve"> It’s worth noticing that this should be done before source </w:t>
      </w:r>
      <w:proofErr w:type="spellStart"/>
      <w:r w:rsidR="00D0496F">
        <w:t>gNB</w:t>
      </w:r>
      <w:proofErr w:type="spellEnd"/>
      <w:r w:rsidR="00D0496F">
        <w:t xml:space="preserve"> releases the UE context. </w:t>
      </w:r>
    </w:p>
    <w:p w14:paraId="4254F67D" w14:textId="3B5989E8" w:rsidR="00D83884" w:rsidRDefault="00D0496F" w:rsidP="00D0496F">
      <w:pPr>
        <w:jc w:val="center"/>
      </w:pPr>
      <w:r>
        <w:rPr>
          <w:noProof/>
        </w:rPr>
        <w:drawing>
          <wp:inline distT="0" distB="0" distL="0" distR="0" wp14:anchorId="5FD32640" wp14:editId="1541770C">
            <wp:extent cx="3669075" cy="29159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74163" cy="2919964"/>
                    </a:xfrm>
                    <a:prstGeom prst="rect">
                      <a:avLst/>
                    </a:prstGeom>
                  </pic:spPr>
                </pic:pic>
              </a:graphicData>
            </a:graphic>
          </wp:inline>
        </w:drawing>
      </w:r>
    </w:p>
    <w:p w14:paraId="740B7B0E" w14:textId="3F601399" w:rsidR="00D35757" w:rsidRPr="00D35757" w:rsidRDefault="00D35757" w:rsidP="00D35757">
      <w:pPr>
        <w:jc w:val="center"/>
        <w:rPr>
          <w:b/>
          <w:bCs/>
        </w:rPr>
      </w:pPr>
      <w:r w:rsidRPr="00D35757">
        <w:rPr>
          <w:b/>
          <w:bCs/>
        </w:rPr>
        <w:t xml:space="preserve">Figure </w:t>
      </w:r>
      <w:r w:rsidR="0008681A">
        <w:rPr>
          <w:b/>
          <w:bCs/>
        </w:rPr>
        <w:t>2</w:t>
      </w:r>
      <w:r w:rsidRPr="00D35757">
        <w:rPr>
          <w:b/>
          <w:bCs/>
        </w:rPr>
        <w:t xml:space="preserve">: Example of sending predicted UE trajectory </w:t>
      </w:r>
      <w:r w:rsidR="0008681A">
        <w:rPr>
          <w:b/>
          <w:bCs/>
        </w:rPr>
        <w:t xml:space="preserve">via the new procedure for prediction information </w:t>
      </w:r>
    </w:p>
    <w:p w14:paraId="750C660A" w14:textId="77777777" w:rsidR="00D35757" w:rsidRDefault="00D35757" w:rsidP="00D0496F">
      <w:pPr>
        <w:jc w:val="center"/>
      </w:pPr>
    </w:p>
    <w:tbl>
      <w:tblPr>
        <w:tblStyle w:val="TableGrid"/>
        <w:tblW w:w="0" w:type="auto"/>
        <w:tblLook w:val="04A0" w:firstRow="1" w:lastRow="0" w:firstColumn="1" w:lastColumn="0" w:noHBand="0" w:noVBand="1"/>
      </w:tblPr>
      <w:tblGrid>
        <w:gridCol w:w="9855"/>
      </w:tblGrid>
      <w:tr w:rsidR="00D83884" w14:paraId="772C5640" w14:textId="77777777" w:rsidTr="00D83884">
        <w:tc>
          <w:tcPr>
            <w:tcW w:w="9855" w:type="dxa"/>
          </w:tcPr>
          <w:p w14:paraId="1FAAA70E" w14:textId="048486B4" w:rsidR="004C38EC" w:rsidRPr="004C38EC" w:rsidRDefault="004C38EC" w:rsidP="00D83884">
            <w:pPr>
              <w:rPr>
                <w:rFonts w:cs="Arial"/>
                <w:lang w:eastAsia="zh-CN"/>
              </w:rPr>
            </w:pPr>
            <w:r w:rsidRPr="004C38EC">
              <w:rPr>
                <w:rFonts w:cs="Arial"/>
                <w:highlight w:val="green"/>
                <w:lang w:eastAsia="zh-CN"/>
              </w:rPr>
              <w:t>RAN3 #117e Agreements</w:t>
            </w:r>
          </w:p>
          <w:p w14:paraId="7AF5D8E5" w14:textId="45887984" w:rsidR="00D83884" w:rsidRDefault="00D83884" w:rsidP="00D83884">
            <w:pPr>
              <w:rPr>
                <w:rFonts w:ascii="Calibri" w:hAnsi="Calibri" w:cs="Calibri"/>
                <w:i/>
                <w:iCs/>
                <w:color w:val="00B050"/>
                <w:kern w:val="2"/>
                <w:sz w:val="16"/>
                <w:szCs w:val="16"/>
              </w:rPr>
            </w:pPr>
            <w:r w:rsidRPr="00E93C7E">
              <w:rPr>
                <w:rFonts w:ascii="Calibri" w:hAnsi="Calibri" w:cs="Calibri"/>
                <w:i/>
                <w:iCs/>
                <w:color w:val="00B050"/>
                <w:kern w:val="2"/>
                <w:sz w:val="16"/>
                <w:szCs w:val="16"/>
              </w:rPr>
              <w:t xml:space="preserve">Define a new procedure over </w:t>
            </w:r>
            <w:proofErr w:type="spellStart"/>
            <w:r w:rsidRPr="00E93C7E">
              <w:rPr>
                <w:rFonts w:ascii="Calibri" w:hAnsi="Calibri" w:cs="Calibri"/>
                <w:i/>
                <w:iCs/>
                <w:color w:val="00B050"/>
                <w:kern w:val="2"/>
                <w:sz w:val="16"/>
                <w:szCs w:val="16"/>
              </w:rPr>
              <w:t>Xn</w:t>
            </w:r>
            <w:proofErr w:type="spellEnd"/>
            <w:r w:rsidRPr="00E93C7E">
              <w:rPr>
                <w:rFonts w:ascii="Calibri" w:hAnsi="Calibri" w:cs="Calibri"/>
                <w:i/>
                <w:iCs/>
                <w:color w:val="00B050"/>
                <w:kern w:val="2"/>
                <w:sz w:val="16"/>
                <w:szCs w:val="16"/>
              </w:rPr>
              <w:t xml:space="preserve"> which can be used for AI/ML related information, e.g., predicted information</w:t>
            </w:r>
            <w:r>
              <w:rPr>
                <w:rFonts w:ascii="Calibri" w:hAnsi="Calibri" w:cs="Calibri"/>
                <w:i/>
                <w:iCs/>
                <w:color w:val="00B050"/>
                <w:kern w:val="2"/>
                <w:sz w:val="16"/>
                <w:szCs w:val="16"/>
              </w:rPr>
              <w:t>.</w:t>
            </w:r>
          </w:p>
          <w:p w14:paraId="448ECEF0" w14:textId="77777777" w:rsidR="00D83884" w:rsidRDefault="00D83884" w:rsidP="00D83884">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14:paraId="5A187423" w14:textId="5B459172" w:rsidR="00D83884" w:rsidRPr="00D83884" w:rsidRDefault="00D83884" w:rsidP="002F13AE">
            <w:pPr>
              <w:rPr>
                <w:rFonts w:ascii="Calibri" w:hAnsi="Calibri" w:cs="Calibri"/>
                <w:i/>
                <w:iCs/>
                <w:color w:val="00B050"/>
                <w:kern w:val="2"/>
                <w:sz w:val="16"/>
                <w:szCs w:val="16"/>
              </w:rPr>
            </w:pPr>
            <w:r w:rsidRPr="00F55DC7">
              <w:rPr>
                <w:rFonts w:ascii="Calibri" w:hAnsi="Calibri" w:cs="Calibri"/>
                <w:i/>
                <w:iCs/>
                <w:color w:val="00B050"/>
                <w:kern w:val="2"/>
                <w:sz w:val="16"/>
                <w:szCs w:val="16"/>
              </w:rPr>
              <w:t xml:space="preserve">The new procedure over </w:t>
            </w:r>
            <w:proofErr w:type="spellStart"/>
            <w:r w:rsidRPr="00F55DC7">
              <w:rPr>
                <w:rFonts w:ascii="Calibri" w:hAnsi="Calibri" w:cs="Calibri"/>
                <w:i/>
                <w:iCs/>
                <w:color w:val="00B050"/>
                <w:kern w:val="2"/>
                <w:sz w:val="16"/>
                <w:szCs w:val="16"/>
              </w:rPr>
              <w:t>Xn</w:t>
            </w:r>
            <w:proofErr w:type="spellEnd"/>
            <w:r w:rsidRPr="00F55DC7">
              <w:rPr>
                <w:rFonts w:ascii="Calibri" w:hAnsi="Calibri" w:cs="Calibri"/>
                <w:i/>
                <w:iCs/>
                <w:color w:val="00B050"/>
                <w:kern w:val="2"/>
                <w:sz w:val="16"/>
                <w:szCs w:val="16"/>
              </w:rPr>
              <w:t xml:space="preserve"> used for AI/ML related information should be non-UE associated as a start point.</w:t>
            </w:r>
          </w:p>
        </w:tc>
      </w:tr>
    </w:tbl>
    <w:p w14:paraId="60F56D15" w14:textId="73A661F8" w:rsidR="00795852" w:rsidRDefault="00795852" w:rsidP="002F13AE"/>
    <w:p w14:paraId="51094CB2" w14:textId="63A8F11E" w:rsidR="004A172B" w:rsidRDefault="004A172B" w:rsidP="002F13AE">
      <w:r>
        <w:t>Both alternatives can work in our view, RAN3 is suggested to discuss i</w:t>
      </w:r>
      <w:r w:rsidR="0029060A">
        <w:t xml:space="preserve">f both alternatives can be supported, or only one of them. </w:t>
      </w:r>
    </w:p>
    <w:p w14:paraId="70E157A6" w14:textId="24FDADB5" w:rsidR="005E24A6" w:rsidRDefault="005A3A90" w:rsidP="005E24A6">
      <w:pPr>
        <w:pStyle w:val="Proposal"/>
      </w:pPr>
      <w:bookmarkStart w:id="1" w:name="_Toc115249578"/>
      <w:r>
        <w:t xml:space="preserve">To support exchanging </w:t>
      </w:r>
      <w:r w:rsidR="00382928">
        <w:t xml:space="preserve">predicted </w:t>
      </w:r>
      <w:r>
        <w:t xml:space="preserve">cell-granularity UE </w:t>
      </w:r>
      <w:r w:rsidR="00382928">
        <w:t xml:space="preserve">trajectory, RAN3 discusses </w:t>
      </w:r>
      <w:r w:rsidR="009E6D52">
        <w:t>the following two alternatives</w:t>
      </w:r>
      <w:r w:rsidR="00422124">
        <w:t xml:space="preserve"> and decides which one or both can be supported</w:t>
      </w:r>
      <w:r w:rsidR="009E6D52">
        <w:t>:</w:t>
      </w:r>
      <w:bookmarkEnd w:id="1"/>
    </w:p>
    <w:p w14:paraId="49A07D36" w14:textId="41C5F24D" w:rsidR="009E6D52" w:rsidRDefault="006E2826" w:rsidP="009E6D52">
      <w:pPr>
        <w:pStyle w:val="Proposal"/>
        <w:numPr>
          <w:ilvl w:val="1"/>
          <w:numId w:val="5"/>
        </w:numPr>
      </w:pPr>
      <w:bookmarkStart w:id="2" w:name="_Toc115249579"/>
      <w:r>
        <w:t>via</w:t>
      </w:r>
      <w:r w:rsidR="009E6D52">
        <w:t xml:space="preserve"> Handover Request message</w:t>
      </w:r>
      <w:bookmarkEnd w:id="2"/>
    </w:p>
    <w:p w14:paraId="7F9CE24C" w14:textId="23E9A5DA" w:rsidR="009E6D52" w:rsidRDefault="006E2826" w:rsidP="009E6D52">
      <w:pPr>
        <w:pStyle w:val="Proposal"/>
        <w:numPr>
          <w:ilvl w:val="1"/>
          <w:numId w:val="5"/>
        </w:numPr>
      </w:pPr>
      <w:bookmarkStart w:id="3" w:name="_Toc115249580"/>
      <w:r>
        <w:t xml:space="preserve">via </w:t>
      </w:r>
      <w:r w:rsidRPr="006E2826">
        <w:t xml:space="preserve">the new </w:t>
      </w:r>
      <w:r>
        <w:t xml:space="preserve">introduced </w:t>
      </w:r>
      <w:proofErr w:type="spellStart"/>
      <w:r w:rsidRPr="006E2826">
        <w:t>Xn</w:t>
      </w:r>
      <w:proofErr w:type="spellEnd"/>
      <w:r w:rsidRPr="006E2826">
        <w:t xml:space="preserve"> procedure for prediction information</w:t>
      </w:r>
      <w:bookmarkEnd w:id="3"/>
    </w:p>
    <w:p w14:paraId="7A6E2875" w14:textId="730EA922" w:rsidR="005E24A6" w:rsidRDefault="005E24A6" w:rsidP="005E24A6">
      <w:pPr>
        <w:pStyle w:val="Proposal"/>
        <w:numPr>
          <w:ilvl w:val="0"/>
          <w:numId w:val="0"/>
        </w:numPr>
        <w:ind w:left="1304" w:hanging="1304"/>
      </w:pPr>
    </w:p>
    <w:p w14:paraId="07C82D64" w14:textId="539A9938" w:rsidR="00764A0B" w:rsidRDefault="00764A0B" w:rsidP="00764A0B">
      <w:pPr>
        <w:pStyle w:val="Heading2"/>
      </w:pPr>
      <w:r>
        <w:t>2.</w:t>
      </w:r>
      <w:r w:rsidR="00651F6B">
        <w:t>2</w:t>
      </w:r>
      <w:r>
        <w:tab/>
        <w:t xml:space="preserve">Prediction </w:t>
      </w:r>
      <w:r w:rsidR="00643A07">
        <w:t>a</w:t>
      </w:r>
      <w:r>
        <w:t xml:space="preserve">ccuracy – AI/ML model </w:t>
      </w:r>
      <w:r w:rsidR="00643A07">
        <w:t>performance monitor</w:t>
      </w:r>
    </w:p>
    <w:p w14:paraId="31F6F02A" w14:textId="77777777" w:rsidR="00200406" w:rsidRDefault="00200406" w:rsidP="00200406">
      <w:proofErr w:type="gramStart"/>
      <w:r>
        <w:t>First of all</w:t>
      </w:r>
      <w:proofErr w:type="gramEnd"/>
      <w:r>
        <w:t xml:space="preserve">, as captured in TR 37.817 and raised in many discussions during the study item, it is considered crucial for the entity responsible for Model Training to understand the model performance after deploying the model to the Model Inference. The Model Training entity shall trigger model retraining/update in case the model performance becomes unacceptable, e.g., the produced prediction result is far away from the actual measurement result meaning large prediction error. </w:t>
      </w:r>
    </w:p>
    <w:p w14:paraId="69683720" w14:textId="77777777" w:rsidR="00200406" w:rsidRDefault="00200406" w:rsidP="00200406">
      <w:pPr>
        <w:jc w:val="center"/>
        <w:rPr>
          <w:rFonts w:ascii="Times New Roman" w:hAnsi="Times New Roman"/>
          <w:lang w:eastAsia="ko-KR"/>
        </w:rPr>
      </w:pPr>
      <w:r>
        <w:rPr>
          <w:rFonts w:ascii="Times New Roman" w:hAnsi="Times New Roman"/>
          <w:lang w:eastAsia="ko-KR"/>
        </w:rPr>
        <w:object w:dxaOrig="8088" w:dyaOrig="3180" w14:anchorId="12932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59.2pt" o:ole="">
            <v:imagedata r:id="rId13" o:title=""/>
          </v:shape>
          <o:OLEObject Type="Embed" ProgID="Visio.Drawing.15" ShapeID="_x0000_i1025" DrawAspect="Content" ObjectID="_1725862328" r:id="rId14"/>
        </w:object>
      </w:r>
    </w:p>
    <w:p w14:paraId="5E17A57C" w14:textId="77777777" w:rsidR="00200406" w:rsidRPr="004A0572" w:rsidRDefault="00200406" w:rsidP="00200406">
      <w:pPr>
        <w:jc w:val="center"/>
        <w:rPr>
          <w:b/>
          <w:bCs/>
        </w:rPr>
      </w:pPr>
      <w:r w:rsidRPr="004A0572">
        <w:rPr>
          <w:b/>
          <w:bCs/>
        </w:rPr>
        <w:t>Figure 1: Functional Framework for RAN Intelligence</w:t>
      </w:r>
    </w:p>
    <w:p w14:paraId="4C345E3D" w14:textId="77777777" w:rsidR="00200406" w:rsidRDefault="00200406" w:rsidP="00200406">
      <w:pPr>
        <w:pStyle w:val="Observation"/>
      </w:pPr>
      <w:bookmarkStart w:id="4" w:name="_Toc114586286"/>
      <w:bookmarkStart w:id="5" w:name="_Toc114586348"/>
      <w:bookmarkStart w:id="6" w:name="_Toc114586874"/>
      <w:bookmarkStart w:id="7" w:name="_Toc114755084"/>
      <w:r>
        <w:t>Model performance monitor is crucial for the Model Training entity to retrain/update the AI/ML model in case the model performance becomes unacceptable.</w:t>
      </w:r>
      <w:bookmarkEnd w:id="4"/>
      <w:bookmarkEnd w:id="5"/>
      <w:bookmarkEnd w:id="6"/>
      <w:bookmarkEnd w:id="7"/>
      <w:r>
        <w:t xml:space="preserve"> </w:t>
      </w:r>
    </w:p>
    <w:p w14:paraId="4A80EF3E" w14:textId="77777777" w:rsidR="00E9593B" w:rsidRDefault="00E9593B" w:rsidP="005E24A6">
      <w:pPr>
        <w:pStyle w:val="Proposal"/>
        <w:numPr>
          <w:ilvl w:val="0"/>
          <w:numId w:val="0"/>
        </w:numPr>
        <w:ind w:left="1304" w:hanging="1304"/>
      </w:pPr>
    </w:p>
    <w:p w14:paraId="4B2899F5" w14:textId="50938924" w:rsidR="005E24A6" w:rsidRDefault="00E6396B" w:rsidP="005E24A6">
      <w:r>
        <w:t xml:space="preserve">If a source NG-RAN node has sent UE trajectory prediction to </w:t>
      </w:r>
      <w:r w:rsidR="00062C90">
        <w:t>a</w:t>
      </w:r>
      <w:r>
        <w:t xml:space="preserve"> target NG-RAN node</w:t>
      </w:r>
      <w:r w:rsidR="00E249ED">
        <w:t xml:space="preserve">, the source NG-RAN node could be interested to know if the prediction </w:t>
      </w:r>
      <w:r w:rsidR="00062C90">
        <w:t>is accurate</w:t>
      </w:r>
      <w:r w:rsidR="00E249ED">
        <w:t xml:space="preserve"> or not. If the prediction accuracy becomes low, the source NG-RAN node could trigger the process to retrain the AI model. On the other hand, since the UE will disconnect from the source NG-RAN node, the source NG-RAN node can no longer measure the actual UE trajectory or UE traffic after the handover. Therefore, it can only rely on the target NG-RAN node to provide the actual measurement result (e.g., measured UE trajectory) back to the source NG-RAN node, which can be further used to determine if the prediction was accurate and retrain the model using the actual measurement result</w:t>
      </w:r>
      <w:r w:rsidR="009806EA">
        <w:t xml:space="preserve"> if needed</w:t>
      </w:r>
      <w:r w:rsidR="00E249ED">
        <w:t>.</w:t>
      </w:r>
    </w:p>
    <w:p w14:paraId="38AE92B4" w14:textId="559122D0" w:rsidR="009806EA" w:rsidRDefault="009806EA" w:rsidP="009806EA">
      <w:pPr>
        <w:pStyle w:val="Observation"/>
      </w:pPr>
      <w:bookmarkStart w:id="8" w:name="_Toc110437861"/>
      <w:bookmarkStart w:id="9" w:name="_Toc110545286"/>
      <w:bookmarkStart w:id="10" w:name="_Toc114755085"/>
      <w:r>
        <w:t>The source NG-RAN node needs to know if the prediction result that has been provided to the target NG-RAN node is accurate</w:t>
      </w:r>
      <w:r w:rsidR="0002475A">
        <w:t xml:space="preserve"> </w:t>
      </w:r>
      <w:r>
        <w:t>and retrain the AI model if needed.</w:t>
      </w:r>
      <w:bookmarkEnd w:id="8"/>
      <w:bookmarkEnd w:id="9"/>
      <w:bookmarkEnd w:id="10"/>
      <w:r>
        <w:t xml:space="preserve">  </w:t>
      </w:r>
    </w:p>
    <w:p w14:paraId="72998B2B" w14:textId="04B795DB" w:rsidR="004914F5" w:rsidRDefault="004914F5" w:rsidP="004914F5">
      <w:pPr>
        <w:pStyle w:val="Proposal"/>
      </w:pPr>
      <w:bookmarkStart w:id="11" w:name="_Toc114586877"/>
      <w:bookmarkStart w:id="12" w:name="_Toc115249581"/>
      <w:r>
        <w:t>RAN3 confirms there is a need for the source NG-RAN node, that has made UE trajectory prediction and then sends to the target NG-RAN node, to understand the prediction accuracy as part of the AI/ML model performance monitor.</w:t>
      </w:r>
      <w:bookmarkEnd w:id="11"/>
      <w:bookmarkEnd w:id="12"/>
      <w:r>
        <w:t xml:space="preserve"> </w:t>
      </w:r>
    </w:p>
    <w:p w14:paraId="44E32A76" w14:textId="36D54704" w:rsidR="009806EA" w:rsidRDefault="009806EA" w:rsidP="009806EA">
      <w:pPr>
        <w:pStyle w:val="Proposal"/>
      </w:pPr>
      <w:bookmarkStart w:id="13" w:name="_Toc115249582"/>
      <w:r>
        <w:t xml:space="preserve">RAN3 discusses mechanisms for the source NG-RAN node to obtain actual </w:t>
      </w:r>
      <w:r w:rsidR="00030944">
        <w:t>UE trajectory</w:t>
      </w:r>
      <w:r>
        <w:t>, that is corresponding to the prediction result that has been provided, from the target NG-RAN node after handover.</w:t>
      </w:r>
      <w:bookmarkEnd w:id="13"/>
      <w:r>
        <w:t xml:space="preserve"> </w:t>
      </w:r>
    </w:p>
    <w:p w14:paraId="23A002C6" w14:textId="4C971F40" w:rsidR="004914F5" w:rsidRDefault="004914F5" w:rsidP="004914F5">
      <w:pPr>
        <w:pStyle w:val="Proposal"/>
        <w:numPr>
          <w:ilvl w:val="0"/>
          <w:numId w:val="0"/>
        </w:numPr>
        <w:ind w:left="1304" w:hanging="1304"/>
      </w:pPr>
    </w:p>
    <w:p w14:paraId="5C96B25D" w14:textId="77777777" w:rsidR="004914F5" w:rsidRDefault="004914F5" w:rsidP="004914F5">
      <w:pPr>
        <w:pStyle w:val="Proposal"/>
        <w:numPr>
          <w:ilvl w:val="0"/>
          <w:numId w:val="0"/>
        </w:numPr>
        <w:ind w:left="1304" w:hanging="1304"/>
      </w:pPr>
    </w:p>
    <w:p w14:paraId="428FF641" w14:textId="08E276CE" w:rsidR="002F13AE" w:rsidRDefault="00F50020" w:rsidP="009806EA">
      <w:pPr>
        <w:jc w:val="center"/>
      </w:pPr>
      <w:r>
        <w:rPr>
          <w:noProof/>
        </w:rPr>
        <w:drawing>
          <wp:inline distT="0" distB="0" distL="0" distR="0" wp14:anchorId="72F46632" wp14:editId="3D13828B">
            <wp:extent cx="3385457" cy="2514813"/>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97236" cy="2523563"/>
                    </a:xfrm>
                    <a:prstGeom prst="rect">
                      <a:avLst/>
                    </a:prstGeom>
                  </pic:spPr>
                </pic:pic>
              </a:graphicData>
            </a:graphic>
          </wp:inline>
        </w:drawing>
      </w:r>
    </w:p>
    <w:p w14:paraId="1FAA85D4" w14:textId="152B4ED5" w:rsidR="009806EA" w:rsidRDefault="009806EA" w:rsidP="009806EA">
      <w:pPr>
        <w:jc w:val="center"/>
        <w:rPr>
          <w:b/>
          <w:bCs/>
        </w:rPr>
      </w:pPr>
      <w:r w:rsidRPr="009806EA">
        <w:rPr>
          <w:b/>
          <w:bCs/>
        </w:rPr>
        <w:t xml:space="preserve">Figure 1: Exemplary procedure to transfer prediction result and get actual measurement during handover </w:t>
      </w:r>
    </w:p>
    <w:p w14:paraId="7E7DEC13" w14:textId="36858EE1" w:rsidR="00F20622" w:rsidRDefault="00F20622" w:rsidP="00F20622">
      <w:pPr>
        <w:pStyle w:val="Proposal"/>
        <w:numPr>
          <w:ilvl w:val="0"/>
          <w:numId w:val="0"/>
        </w:numPr>
        <w:ind w:left="1304" w:hanging="1304"/>
      </w:pPr>
    </w:p>
    <w:p w14:paraId="3CC71C30" w14:textId="3D913E18" w:rsidR="00F20622" w:rsidRDefault="00F20622" w:rsidP="00F20622">
      <w:pPr>
        <w:pStyle w:val="Proposal"/>
        <w:numPr>
          <w:ilvl w:val="0"/>
          <w:numId w:val="0"/>
        </w:numPr>
        <w:ind w:left="1304" w:hanging="1304"/>
      </w:pPr>
    </w:p>
    <w:p w14:paraId="26B71FAE" w14:textId="43321BD8" w:rsidR="00F20622" w:rsidRDefault="00F20622" w:rsidP="00F20622">
      <w:pPr>
        <w:pStyle w:val="Heading2"/>
      </w:pPr>
      <w:r>
        <w:t>2.3</w:t>
      </w:r>
      <w:r>
        <w:tab/>
        <w:t xml:space="preserve">Predicted UE traffic </w:t>
      </w:r>
    </w:p>
    <w:p w14:paraId="517D91B0" w14:textId="3AD38189" w:rsidR="00B947C7" w:rsidRDefault="00203572" w:rsidP="00B947C7">
      <w:r>
        <w:t xml:space="preserve">Although it’s not </w:t>
      </w:r>
      <w:r w:rsidR="004639DE">
        <w:t xml:space="preserve">explicitly captured in TR 37.817, </w:t>
      </w:r>
      <w:r w:rsidR="0091162E">
        <w:t xml:space="preserve">we </w:t>
      </w:r>
      <w:r w:rsidR="008B7E3F">
        <w:t xml:space="preserve">believe predicted UE traffic </w:t>
      </w:r>
      <w:r w:rsidR="008B7E3F" w:rsidRPr="008B7E3F">
        <w:t xml:space="preserve">(i.e., data volume in a time window) can also be provided to the target </w:t>
      </w:r>
      <w:proofErr w:type="spellStart"/>
      <w:r w:rsidR="008B7E3F" w:rsidRPr="008B7E3F">
        <w:t>gNB</w:t>
      </w:r>
      <w:proofErr w:type="spellEnd"/>
      <w:r w:rsidR="008B7E3F" w:rsidRPr="008B7E3F">
        <w:t xml:space="preserve"> similar as predicted UE trajectory.</w:t>
      </w:r>
      <w:r w:rsidR="00660427">
        <w:t xml:space="preserve"> </w:t>
      </w:r>
      <w:r w:rsidR="00EF3FFB">
        <w:t xml:space="preserve">The reasoning is </w:t>
      </w:r>
      <w:r w:rsidR="00B947C7">
        <w:t>similar</w:t>
      </w:r>
      <w:r w:rsidR="008A31EB">
        <w:t xml:space="preserve">. </w:t>
      </w:r>
      <w:r w:rsidR="00B947C7">
        <w:t>During handover, if the source NG-RAN node has predicted UE traffic available, it is technically beneficial for the target NG-RAN node to be aware of as well considering:</w:t>
      </w:r>
    </w:p>
    <w:p w14:paraId="594AF383" w14:textId="77777777" w:rsidR="00B947C7" w:rsidRDefault="00B947C7" w:rsidP="00B947C7">
      <w:pPr>
        <w:pStyle w:val="ListParagraph"/>
        <w:numPr>
          <w:ilvl w:val="0"/>
          <w:numId w:val="22"/>
        </w:numPr>
      </w:pPr>
      <w:r>
        <w:t xml:space="preserve">The target NG-RAN node doesn’t have to perform the AI inference again if the prediction is provided from the source NG-RAN node. Computing resources for AI inference can be saved. </w:t>
      </w:r>
    </w:p>
    <w:p w14:paraId="2B6CDBFB" w14:textId="36ECFA25" w:rsidR="00B947C7" w:rsidRDefault="00B947C7" w:rsidP="00B947C7">
      <w:pPr>
        <w:pStyle w:val="ListParagraph"/>
        <w:numPr>
          <w:ilvl w:val="0"/>
          <w:numId w:val="22"/>
        </w:numPr>
      </w:pPr>
      <w:r>
        <w:t xml:space="preserve">The target NG-RAN node can utilize the </w:t>
      </w:r>
      <w:r w:rsidR="00AF4402">
        <w:t>predicted UE traffic</w:t>
      </w:r>
      <w:r>
        <w:t xml:space="preserve"> provided by the source NG-RAN node for future load balancing, energy saving, or mobility optimization decisions.  </w:t>
      </w:r>
    </w:p>
    <w:p w14:paraId="0A3FFB89" w14:textId="14DDCC3D" w:rsidR="00B947C7" w:rsidRDefault="00B947C7" w:rsidP="00B947C7">
      <w:r>
        <w:t>Therefore, RAN3 is suggested to support the source NG-RAN node to transfer the predict</w:t>
      </w:r>
      <w:r w:rsidR="00AF4402">
        <w:t xml:space="preserve">ed UE traffic </w:t>
      </w:r>
      <w:r>
        <w:t>related to the handed-over UE</w:t>
      </w:r>
      <w:r w:rsidR="00AF4402">
        <w:t xml:space="preserve"> </w:t>
      </w:r>
      <w:r>
        <w:t xml:space="preserve">to the target NG-RAN node. </w:t>
      </w:r>
    </w:p>
    <w:p w14:paraId="52C60D1E" w14:textId="259E05B4" w:rsidR="00AF4402" w:rsidRDefault="00C33AFA" w:rsidP="00AF4402">
      <w:pPr>
        <w:pStyle w:val="Proposal"/>
      </w:pPr>
      <w:bookmarkStart w:id="14" w:name="_Toc115249583"/>
      <w:r>
        <w:t>P</w:t>
      </w:r>
      <w:r w:rsidR="00AF4402">
        <w:t xml:space="preserve">redicted UE traffic </w:t>
      </w:r>
      <w:r w:rsidR="00AF4402" w:rsidRPr="008B7E3F">
        <w:t xml:space="preserve">(i.e., data volume in a time window) can also be provided to the target </w:t>
      </w:r>
      <w:proofErr w:type="spellStart"/>
      <w:r w:rsidR="00AF4402" w:rsidRPr="008B7E3F">
        <w:t>gNB</w:t>
      </w:r>
      <w:proofErr w:type="spellEnd"/>
      <w:r w:rsidR="00AF4402" w:rsidRPr="008B7E3F">
        <w:t xml:space="preserve"> similar as predicted UE trajectory</w:t>
      </w:r>
      <w:bookmarkEnd w:id="14"/>
    </w:p>
    <w:p w14:paraId="2C04DC20" w14:textId="77777777" w:rsidR="00B947C7" w:rsidRDefault="00B947C7" w:rsidP="00427842"/>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0EA9077E" w14:textId="77777777" w:rsidR="00AF4402"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AF4402" w:rsidRPr="00D41374">
        <w:rPr>
          <w:noProof/>
          <w14:scene3d>
            <w14:camera w14:prst="orthographicFront"/>
            <w14:lightRig w14:rig="threePt" w14:dir="t">
              <w14:rot w14:lat="0" w14:lon="0" w14:rev="0"/>
            </w14:lightRig>
          </w14:scene3d>
        </w:rPr>
        <w:t>Observation 1</w:t>
      </w:r>
      <w:r w:rsidR="00AF4402">
        <w:rPr>
          <w:rFonts w:asciiTheme="minorHAnsi" w:eastAsiaTheme="minorEastAsia" w:hAnsiTheme="minorHAnsi" w:cstheme="minorBidi"/>
          <w:b w:val="0"/>
          <w:noProof/>
          <w:sz w:val="22"/>
          <w:szCs w:val="22"/>
          <w:lang w:val="en-US" w:eastAsia="zh-CN"/>
        </w:rPr>
        <w:tab/>
      </w:r>
      <w:r w:rsidR="00AF4402">
        <w:rPr>
          <w:noProof/>
        </w:rPr>
        <w:t>Model performance monitor is crucial for the Model Training entity to retrain/update the AI/ML model in case the model performance becomes unacceptable.</w:t>
      </w:r>
    </w:p>
    <w:p w14:paraId="05911DA1" w14:textId="77777777" w:rsidR="00AF4402" w:rsidRDefault="00AF440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D41374">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source NG-RAN node needs to know if the prediction result that has been provided to the target NG-RAN node is accurate and retrain the AI model if needed.</w:t>
      </w:r>
    </w:p>
    <w:p w14:paraId="1FDBFF53" w14:textId="2B2A6D73"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2FC6AC6" w14:textId="63543175" w:rsidR="00C33AFA"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5249578" w:history="1">
        <w:r w:rsidR="00C33AFA" w:rsidRPr="00415915">
          <w:rPr>
            <w:rStyle w:val="Hyperlink"/>
            <w:noProof/>
            <w14:scene3d>
              <w14:camera w14:prst="orthographicFront"/>
              <w14:lightRig w14:rig="threePt" w14:dir="t">
                <w14:rot w14:lat="0" w14:lon="0" w14:rev="0"/>
              </w14:lightRig>
            </w14:scene3d>
          </w:rPr>
          <w:t>Proposal 1</w:t>
        </w:r>
        <w:r w:rsidR="00C33AFA">
          <w:rPr>
            <w:rFonts w:asciiTheme="minorHAnsi" w:eastAsiaTheme="minorEastAsia" w:hAnsiTheme="minorHAnsi" w:cstheme="minorBidi"/>
            <w:b w:val="0"/>
            <w:noProof/>
            <w:sz w:val="22"/>
            <w:szCs w:val="22"/>
            <w:lang w:val="en-US" w:eastAsia="zh-CN"/>
          </w:rPr>
          <w:tab/>
        </w:r>
        <w:r w:rsidR="00C33AFA" w:rsidRPr="00415915">
          <w:rPr>
            <w:rStyle w:val="Hyperlink"/>
            <w:noProof/>
          </w:rPr>
          <w:t>To support exchanging predicted cell-granularity UE trajectory, RAN3 discusses the following two alternatives and decides which one or both can be supported:</w:t>
        </w:r>
      </w:hyperlink>
    </w:p>
    <w:p w14:paraId="6898FDE0" w14:textId="2CEE4985" w:rsidR="00C33AFA" w:rsidRDefault="00C33AFA">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249579" w:history="1">
        <w:r w:rsidRPr="00415915">
          <w:rPr>
            <w:rStyle w:val="Hyperlink"/>
            <w:noProof/>
          </w:rPr>
          <w:t>a.</w:t>
        </w:r>
        <w:r>
          <w:rPr>
            <w:rFonts w:asciiTheme="minorHAnsi" w:eastAsiaTheme="minorEastAsia" w:hAnsiTheme="minorHAnsi" w:cstheme="minorBidi"/>
            <w:b w:val="0"/>
            <w:noProof/>
            <w:sz w:val="22"/>
            <w:szCs w:val="22"/>
            <w:lang w:val="en-US" w:eastAsia="zh-CN"/>
          </w:rPr>
          <w:tab/>
        </w:r>
        <w:r w:rsidRPr="00415915">
          <w:rPr>
            <w:rStyle w:val="Hyperlink"/>
            <w:noProof/>
          </w:rPr>
          <w:t>via Handover Request message</w:t>
        </w:r>
      </w:hyperlink>
    </w:p>
    <w:p w14:paraId="5050734F" w14:textId="7C37D9C1" w:rsidR="00C33AFA" w:rsidRDefault="00C33AFA">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249580" w:history="1">
        <w:r w:rsidRPr="00415915">
          <w:rPr>
            <w:rStyle w:val="Hyperlink"/>
            <w:noProof/>
          </w:rPr>
          <w:t>b.</w:t>
        </w:r>
        <w:r>
          <w:rPr>
            <w:rFonts w:asciiTheme="minorHAnsi" w:eastAsiaTheme="minorEastAsia" w:hAnsiTheme="minorHAnsi" w:cstheme="minorBidi"/>
            <w:b w:val="0"/>
            <w:noProof/>
            <w:sz w:val="22"/>
            <w:szCs w:val="22"/>
            <w:lang w:val="en-US" w:eastAsia="zh-CN"/>
          </w:rPr>
          <w:tab/>
        </w:r>
        <w:r w:rsidRPr="00415915">
          <w:rPr>
            <w:rStyle w:val="Hyperlink"/>
            <w:noProof/>
          </w:rPr>
          <w:t>via the new introduced Xn procedure for prediction information</w:t>
        </w:r>
      </w:hyperlink>
    </w:p>
    <w:p w14:paraId="39647DFC" w14:textId="5AE8E380" w:rsidR="00C33AFA" w:rsidRDefault="00C33AF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249581" w:history="1">
        <w:r w:rsidRPr="00415915">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415915">
          <w:rPr>
            <w:rStyle w:val="Hyperlink"/>
            <w:noProof/>
          </w:rPr>
          <w:t>RAN3 confirms there is a need for the source NG-RAN node, that has made UE trajectory prediction and then sends to the target NG-RAN node, to understand the prediction accuracy as part of the AI/ML model performance monitor.</w:t>
        </w:r>
      </w:hyperlink>
    </w:p>
    <w:p w14:paraId="5F41EFAE" w14:textId="679CB8E6" w:rsidR="00C33AFA" w:rsidRDefault="00C33AF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249582" w:history="1">
        <w:r w:rsidRPr="00415915">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415915">
          <w:rPr>
            <w:rStyle w:val="Hyperlink"/>
            <w:noProof/>
          </w:rPr>
          <w:t>RAN3 discusses mechanisms for the source NG-RAN node to obtain actual UE trajectory, that is corresponding to the prediction result that has been provided, from the target NG-RAN node after handover.</w:t>
        </w:r>
      </w:hyperlink>
    </w:p>
    <w:p w14:paraId="7F94DCD2" w14:textId="5CA33AE6" w:rsidR="00C33AFA" w:rsidRDefault="00C33AF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249583" w:history="1">
        <w:r w:rsidRPr="00415915">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415915">
          <w:rPr>
            <w:rStyle w:val="Hyperlink"/>
            <w:noProof/>
          </w:rPr>
          <w:t>Predicted UE traffic (i.e., data volume in a time window) can also be provided to the target gNB similar as predicted UE trajectory</w:t>
        </w:r>
      </w:hyperlink>
    </w:p>
    <w:p w14:paraId="52C68EDB" w14:textId="0CE852B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35C7B2FB"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6C8C4" w14:textId="77777777" w:rsidR="00BB4D2C" w:rsidRDefault="00BB4D2C">
      <w:pPr>
        <w:spacing w:after="0"/>
      </w:pPr>
      <w:r>
        <w:separator/>
      </w:r>
    </w:p>
  </w:endnote>
  <w:endnote w:type="continuationSeparator" w:id="0">
    <w:p w14:paraId="38436FC1" w14:textId="77777777" w:rsidR="00BB4D2C" w:rsidRDefault="00BB4D2C">
      <w:pPr>
        <w:spacing w:after="0"/>
      </w:pPr>
      <w:r>
        <w:continuationSeparator/>
      </w:r>
    </w:p>
  </w:endnote>
  <w:endnote w:type="continuationNotice" w:id="1">
    <w:p w14:paraId="72F72084" w14:textId="77777777" w:rsidR="00BB4D2C" w:rsidRDefault="00BB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57923" w14:textId="77777777" w:rsidR="00BB4D2C" w:rsidRDefault="00BB4D2C">
      <w:pPr>
        <w:spacing w:after="0"/>
      </w:pPr>
      <w:r>
        <w:separator/>
      </w:r>
    </w:p>
  </w:footnote>
  <w:footnote w:type="continuationSeparator" w:id="0">
    <w:p w14:paraId="3FECB01E" w14:textId="77777777" w:rsidR="00BB4D2C" w:rsidRDefault="00BB4D2C">
      <w:pPr>
        <w:spacing w:after="0"/>
      </w:pPr>
      <w:r>
        <w:continuationSeparator/>
      </w:r>
    </w:p>
  </w:footnote>
  <w:footnote w:type="continuationNotice" w:id="1">
    <w:p w14:paraId="402A24E7" w14:textId="77777777" w:rsidR="00BB4D2C" w:rsidRDefault="00BB4D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
  </w:num>
  <w:num w:numId="5">
    <w:abstractNumId w:val="4"/>
  </w:num>
  <w:num w:numId="6">
    <w:abstractNumId w:val="4"/>
    <w:lvlOverride w:ilvl="0">
      <w:startOverride w:val="1"/>
    </w:lvlOverride>
  </w:num>
  <w:num w:numId="7">
    <w:abstractNumId w:val="17"/>
  </w:num>
  <w:num w:numId="8">
    <w:abstractNumId w:val="4"/>
  </w:num>
  <w:num w:numId="9">
    <w:abstractNumId w:val="9"/>
  </w:num>
  <w:num w:numId="10">
    <w:abstractNumId w:val="5"/>
  </w:num>
  <w:num w:numId="11">
    <w:abstractNumId w:val="7"/>
  </w:num>
  <w:num w:numId="12">
    <w:abstractNumId w:val="18"/>
  </w:num>
  <w:num w:numId="13">
    <w:abstractNumId w:val="0"/>
  </w:num>
  <w:num w:numId="14">
    <w:abstractNumId w:val="1"/>
  </w:num>
  <w:num w:numId="15">
    <w:abstractNumId w:val="15"/>
  </w:num>
  <w:num w:numId="16">
    <w:abstractNumId w:val="8"/>
  </w:num>
  <w:num w:numId="17">
    <w:abstractNumId w:val="5"/>
  </w:num>
  <w:num w:numId="18">
    <w:abstractNumId w:val="12"/>
  </w:num>
  <w:num w:numId="19">
    <w:abstractNumId w:val="11"/>
  </w:num>
  <w:num w:numId="20">
    <w:abstractNumId w:val="16"/>
  </w:num>
  <w:num w:numId="21">
    <w:abstractNumId w:val="4"/>
  </w:num>
  <w:num w:numId="22">
    <w:abstractNumId w:val="3"/>
  </w:num>
  <w:num w:numId="2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475A"/>
    <w:rsid w:val="00025166"/>
    <w:rsid w:val="0002710A"/>
    <w:rsid w:val="00027BE8"/>
    <w:rsid w:val="00030944"/>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30F"/>
    <w:rsid w:val="000817F7"/>
    <w:rsid w:val="0008191B"/>
    <w:rsid w:val="00081CE6"/>
    <w:rsid w:val="0008470A"/>
    <w:rsid w:val="00084976"/>
    <w:rsid w:val="00084A1A"/>
    <w:rsid w:val="0008681A"/>
    <w:rsid w:val="00087F72"/>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A7D71"/>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3772D"/>
    <w:rsid w:val="00141227"/>
    <w:rsid w:val="00141482"/>
    <w:rsid w:val="001423AA"/>
    <w:rsid w:val="001446A2"/>
    <w:rsid w:val="00145A03"/>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59BB"/>
    <w:rsid w:val="001A0B9F"/>
    <w:rsid w:val="001A1EEE"/>
    <w:rsid w:val="001A2A59"/>
    <w:rsid w:val="001A4232"/>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0406"/>
    <w:rsid w:val="00201C37"/>
    <w:rsid w:val="0020311B"/>
    <w:rsid w:val="00203572"/>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19"/>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60A"/>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7131"/>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05F"/>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454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2928"/>
    <w:rsid w:val="00383545"/>
    <w:rsid w:val="0038410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A1A"/>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15F70"/>
    <w:rsid w:val="004213FC"/>
    <w:rsid w:val="00422124"/>
    <w:rsid w:val="00423E17"/>
    <w:rsid w:val="00424105"/>
    <w:rsid w:val="00424675"/>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9DE"/>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4F"/>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8EC"/>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3A90"/>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24A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403"/>
    <w:rsid w:val="00613CF0"/>
    <w:rsid w:val="00613F59"/>
    <w:rsid w:val="006149FE"/>
    <w:rsid w:val="00614F8D"/>
    <w:rsid w:val="00615A4D"/>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3A07"/>
    <w:rsid w:val="0064649E"/>
    <w:rsid w:val="00646926"/>
    <w:rsid w:val="006477EB"/>
    <w:rsid w:val="00647FDE"/>
    <w:rsid w:val="006501DC"/>
    <w:rsid w:val="00650EFF"/>
    <w:rsid w:val="00651F6B"/>
    <w:rsid w:val="00654086"/>
    <w:rsid w:val="0065425F"/>
    <w:rsid w:val="00655AD0"/>
    <w:rsid w:val="00655DC0"/>
    <w:rsid w:val="0065642D"/>
    <w:rsid w:val="00660427"/>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26"/>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2B90"/>
    <w:rsid w:val="00703B5D"/>
    <w:rsid w:val="0070527B"/>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6C52"/>
    <w:rsid w:val="00757280"/>
    <w:rsid w:val="007574D2"/>
    <w:rsid w:val="00757884"/>
    <w:rsid w:val="0075793C"/>
    <w:rsid w:val="0075796D"/>
    <w:rsid w:val="00757C14"/>
    <w:rsid w:val="00760A52"/>
    <w:rsid w:val="0076233B"/>
    <w:rsid w:val="00762CAE"/>
    <w:rsid w:val="0076375F"/>
    <w:rsid w:val="007645A3"/>
    <w:rsid w:val="00764A0B"/>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471D"/>
    <w:rsid w:val="00795534"/>
    <w:rsid w:val="00795852"/>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1768"/>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0380"/>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570A"/>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0890"/>
    <w:rsid w:val="008A1BB3"/>
    <w:rsid w:val="008A26D4"/>
    <w:rsid w:val="008A31EB"/>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B7E3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78A"/>
    <w:rsid w:val="008E6879"/>
    <w:rsid w:val="008E6A5F"/>
    <w:rsid w:val="008E7485"/>
    <w:rsid w:val="008F0E22"/>
    <w:rsid w:val="008F2347"/>
    <w:rsid w:val="008F2787"/>
    <w:rsid w:val="008F2EDC"/>
    <w:rsid w:val="008F32D0"/>
    <w:rsid w:val="008F3768"/>
    <w:rsid w:val="008F4C13"/>
    <w:rsid w:val="008F5635"/>
    <w:rsid w:val="008F777E"/>
    <w:rsid w:val="008F7D3F"/>
    <w:rsid w:val="009016FE"/>
    <w:rsid w:val="00902FA0"/>
    <w:rsid w:val="00903F99"/>
    <w:rsid w:val="009076DF"/>
    <w:rsid w:val="00907F64"/>
    <w:rsid w:val="0091162E"/>
    <w:rsid w:val="00913D3F"/>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C7B"/>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06EA"/>
    <w:rsid w:val="009817DF"/>
    <w:rsid w:val="00982076"/>
    <w:rsid w:val="00982AD4"/>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6D52"/>
    <w:rsid w:val="009E7503"/>
    <w:rsid w:val="009E7CCA"/>
    <w:rsid w:val="009F093E"/>
    <w:rsid w:val="009F0E33"/>
    <w:rsid w:val="009F13C5"/>
    <w:rsid w:val="009F2B14"/>
    <w:rsid w:val="009F2B62"/>
    <w:rsid w:val="009F4790"/>
    <w:rsid w:val="009F4E58"/>
    <w:rsid w:val="009F65D1"/>
    <w:rsid w:val="009F7E36"/>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402"/>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47C7"/>
    <w:rsid w:val="00B961F4"/>
    <w:rsid w:val="00B97103"/>
    <w:rsid w:val="00B97703"/>
    <w:rsid w:val="00BA0B62"/>
    <w:rsid w:val="00BA2299"/>
    <w:rsid w:val="00BA4D3F"/>
    <w:rsid w:val="00BA5244"/>
    <w:rsid w:val="00BA6C25"/>
    <w:rsid w:val="00BA6C7F"/>
    <w:rsid w:val="00BB0FEC"/>
    <w:rsid w:val="00BB2671"/>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398E"/>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3AFA"/>
    <w:rsid w:val="00C34CE0"/>
    <w:rsid w:val="00C34D71"/>
    <w:rsid w:val="00C3600B"/>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3EF0"/>
    <w:rsid w:val="00D0496F"/>
    <w:rsid w:val="00D049B1"/>
    <w:rsid w:val="00D04F26"/>
    <w:rsid w:val="00D05361"/>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757"/>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884"/>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249ED"/>
    <w:rsid w:val="00E30881"/>
    <w:rsid w:val="00E31D6F"/>
    <w:rsid w:val="00E3363E"/>
    <w:rsid w:val="00E3596F"/>
    <w:rsid w:val="00E363E1"/>
    <w:rsid w:val="00E3759E"/>
    <w:rsid w:val="00E37F64"/>
    <w:rsid w:val="00E402A8"/>
    <w:rsid w:val="00E41672"/>
    <w:rsid w:val="00E41A0E"/>
    <w:rsid w:val="00E42102"/>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593B"/>
    <w:rsid w:val="00E9621D"/>
    <w:rsid w:val="00E96316"/>
    <w:rsid w:val="00E9660E"/>
    <w:rsid w:val="00EA07C1"/>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3FFB"/>
    <w:rsid w:val="00EF44F7"/>
    <w:rsid w:val="00EF4831"/>
    <w:rsid w:val="00EF51F1"/>
    <w:rsid w:val="00EF5840"/>
    <w:rsid w:val="00F008D7"/>
    <w:rsid w:val="00F01D9E"/>
    <w:rsid w:val="00F043C7"/>
    <w:rsid w:val="00F05830"/>
    <w:rsid w:val="00F058DF"/>
    <w:rsid w:val="00F05E59"/>
    <w:rsid w:val="00F07005"/>
    <w:rsid w:val="00F070BE"/>
    <w:rsid w:val="00F0724C"/>
    <w:rsid w:val="00F12CF6"/>
    <w:rsid w:val="00F13619"/>
    <w:rsid w:val="00F14891"/>
    <w:rsid w:val="00F15078"/>
    <w:rsid w:val="00F16B65"/>
    <w:rsid w:val="00F20177"/>
    <w:rsid w:val="00F20622"/>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5BB"/>
    <w:rsid w:val="00F47D6D"/>
    <w:rsid w:val="00F50020"/>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7D0"/>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8E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2353</TotalTime>
  <Pages>4</Pages>
  <Words>1239</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CZ</cp:lastModifiedBy>
  <cp:revision>971</cp:revision>
  <cp:lastPrinted>2018-05-22T10:28:00Z</cp:lastPrinted>
  <dcterms:created xsi:type="dcterms:W3CDTF">2020-07-28T07:52:00Z</dcterms:created>
  <dcterms:modified xsi:type="dcterms:W3CDTF">2022-09-28T01:26:00Z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